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эргономика-раздельный-сбор-отходов"/>
    <w:p>
      <w:pPr>
        <w:pStyle w:val="Heading3"/>
      </w:pPr>
      <w:r>
        <w:t xml:space="preserve">Эргономика: раздельный сбор отходов</w:t>
      </w:r>
    </w:p>
    <w:p>
      <w:pPr>
        <w:pStyle w:val="FirstParagraph"/>
      </w:pPr>
      <w:r>
        <w:t xml:space="preserve">02.06.2021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Эргономика: раздельный сбор отходов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http://gbuzhilishnik.mos.ru/presscenter/news/detail/10002493.html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«Жилищник «Дорогомилово»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buzhilishnik.mos.ru" TargetMode="External" /><Relationship Type="http://schemas.openxmlformats.org/officeDocument/2006/relationships/hyperlink" Id="rId20" Target="http://gbuzhilishnik.mos.ru/presscenter/news/detail/100024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buzhilishnik.mos.ru" TargetMode="External" /><Relationship Type="http://schemas.openxmlformats.org/officeDocument/2006/relationships/hyperlink" Id="rId20" Target="http://gbuzhilishnik.mos.ru/presscenter/news/detail/100024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2024-08-21T18:54:08Z</dcterms:created>
  <dcterms:modified xsi:type="dcterms:W3CDTF">2024-08-21T18:54:08Z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